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472" w:rsidRPr="00B36472" w:rsidRDefault="00B36472" w:rsidP="00B36472">
      <w:pPr>
        <w:spacing w:before="100" w:beforeAutospacing="1" w:after="100" w:afterAutospacing="1" w:line="240" w:lineRule="auto"/>
        <w:outlineLvl w:val="2"/>
        <w:rPr>
          <w:rFonts w:eastAsia="Times New Roman" w:cstheme="minorHAnsi"/>
          <w:b/>
          <w:bCs/>
          <w:color w:val="333333"/>
          <w:lang w:eastAsia="en-AU"/>
        </w:rPr>
      </w:pPr>
      <w:bookmarkStart w:id="0" w:name="1869786309994792550"/>
      <w:bookmarkEnd w:id="0"/>
      <w:r w:rsidRPr="00B36472">
        <w:rPr>
          <w:rFonts w:eastAsia="Times New Roman" w:cstheme="minorHAnsi"/>
          <w:b/>
          <w:bCs/>
          <w:color w:val="333333"/>
          <w:lang w:eastAsia="en-AU"/>
        </w:rPr>
        <w:t xml:space="preserve">Reconfiguring Romanticism (37): Jack Foley on “Hamlet, Keats, and La Conscience de </w:t>
      </w:r>
      <w:proofErr w:type="spellStart"/>
      <w:r w:rsidRPr="00B36472">
        <w:rPr>
          <w:rFonts w:eastAsia="Times New Roman" w:cstheme="minorHAnsi"/>
          <w:b/>
          <w:bCs/>
          <w:color w:val="333333"/>
          <w:lang w:eastAsia="en-AU"/>
        </w:rPr>
        <w:t>Soi</w:t>
      </w:r>
      <w:proofErr w:type="spellEnd"/>
      <w:r w:rsidRPr="00B36472">
        <w:rPr>
          <w:rFonts w:eastAsia="Times New Roman" w:cstheme="minorHAnsi"/>
          <w:b/>
          <w:bCs/>
          <w:color w:val="333333"/>
          <w:lang w:eastAsia="en-AU"/>
        </w:rPr>
        <w:t xml:space="preserve">” </w:t>
      </w:r>
    </w:p>
    <w:p w:rsidR="00B36472" w:rsidRPr="00B36472" w:rsidRDefault="00B36472" w:rsidP="00B36472">
      <w:pPr>
        <w:spacing w:after="180" w:line="384" w:lineRule="atLeast"/>
        <w:rPr>
          <w:rFonts w:eastAsia="Times New Roman" w:cstheme="minorHAnsi"/>
          <w:color w:val="333333"/>
          <w:lang w:eastAsia="en-AU"/>
        </w:rPr>
      </w:pPr>
      <w:r w:rsidRPr="00B36472">
        <w:rPr>
          <w:rFonts w:eastAsia="Times New Roman" w:cstheme="minorHAnsi"/>
          <w:i/>
          <w:iCs/>
          <w:color w:val="333333"/>
          <w:lang w:eastAsia="en-AU"/>
        </w:rPr>
        <w:t>A Few Considerations of a Vast Topic</w:t>
      </w:r>
      <w:r w:rsidRPr="00B36472">
        <w:rPr>
          <w:rFonts w:eastAsia="Times New Roman" w:cstheme="minorHAnsi"/>
          <w:i/>
          <w:iCs/>
          <w:color w:val="333333"/>
          <w:lang w:eastAsia="en-AU"/>
        </w:rPr>
        <w:br/>
      </w:r>
      <w:r w:rsidRPr="00B36472">
        <w:rPr>
          <w:rFonts w:eastAsia="Times New Roman" w:cstheme="minorHAnsi"/>
          <w:color w:val="333333"/>
          <w:lang w:eastAsia="en-AU"/>
        </w:rPr>
        <w:br/>
        <w:t xml:space="preserve">La conscience de </w:t>
      </w:r>
      <w:proofErr w:type="spellStart"/>
      <w:r w:rsidRPr="00B36472">
        <w:rPr>
          <w:rFonts w:eastAsia="Times New Roman" w:cstheme="minorHAnsi"/>
          <w:color w:val="333333"/>
          <w:lang w:eastAsia="en-AU"/>
        </w:rPr>
        <w:t>soi</w:t>
      </w:r>
      <w:proofErr w:type="spellEnd"/>
      <w:r w:rsidRPr="00B36472">
        <w:rPr>
          <w:rFonts w:eastAsia="Times New Roman" w:cstheme="minorHAnsi"/>
          <w:color w:val="333333"/>
          <w:lang w:eastAsia="en-AU"/>
        </w:rPr>
        <w:t xml:space="preserve"> </w:t>
      </w:r>
      <w:proofErr w:type="spellStart"/>
      <w:proofErr w:type="gramStart"/>
      <w:r w:rsidRPr="00B36472">
        <w:rPr>
          <w:rFonts w:eastAsia="Times New Roman" w:cstheme="minorHAnsi"/>
          <w:color w:val="333333"/>
          <w:lang w:eastAsia="en-AU"/>
        </w:rPr>
        <w:t>est</w:t>
      </w:r>
      <w:proofErr w:type="spellEnd"/>
      <w:proofErr w:type="gramEnd"/>
      <w:r w:rsidRPr="00B36472">
        <w:rPr>
          <w:rFonts w:eastAsia="Times New Roman" w:cstheme="minorHAnsi"/>
          <w:color w:val="333333"/>
          <w:lang w:eastAsia="en-AU"/>
        </w:rPr>
        <w:t xml:space="preserve"> </w:t>
      </w:r>
      <w:proofErr w:type="spellStart"/>
      <w:r w:rsidRPr="00B36472">
        <w:rPr>
          <w:rFonts w:eastAsia="Times New Roman" w:cstheme="minorHAnsi"/>
          <w:color w:val="333333"/>
          <w:lang w:eastAsia="en-AU"/>
        </w:rPr>
        <w:t>une</w:t>
      </w:r>
      <w:proofErr w:type="spellEnd"/>
      <w:r w:rsidRPr="00B36472">
        <w:rPr>
          <w:rFonts w:eastAsia="Times New Roman" w:cstheme="minorHAnsi"/>
          <w:color w:val="333333"/>
          <w:lang w:eastAsia="en-AU"/>
        </w:rPr>
        <w:t xml:space="preserve"> nouvelle </w:t>
      </w:r>
      <w:proofErr w:type="spellStart"/>
      <w:r w:rsidRPr="00B36472">
        <w:rPr>
          <w:rFonts w:eastAsia="Times New Roman" w:cstheme="minorHAnsi"/>
          <w:color w:val="333333"/>
          <w:lang w:eastAsia="en-AU"/>
        </w:rPr>
        <w:t>modalité</w:t>
      </w:r>
      <w:proofErr w:type="spellEnd"/>
      <w:r w:rsidRPr="00B36472">
        <w:rPr>
          <w:rFonts w:eastAsia="Times New Roman" w:cstheme="minorHAnsi"/>
          <w:color w:val="333333"/>
          <w:lang w:eastAsia="en-AU"/>
        </w:rPr>
        <w:t xml:space="preserve"> du savoir, </w:t>
      </w:r>
      <w:proofErr w:type="spellStart"/>
      <w:r w:rsidRPr="00B36472">
        <w:rPr>
          <w:rFonts w:eastAsia="Times New Roman" w:cstheme="minorHAnsi"/>
          <w:color w:val="333333"/>
          <w:lang w:eastAsia="en-AU"/>
        </w:rPr>
        <w:t>c’est</w:t>
      </w:r>
      <w:proofErr w:type="spellEnd"/>
      <w:r w:rsidRPr="00B36472">
        <w:rPr>
          <w:rFonts w:eastAsia="Times New Roman" w:cstheme="minorHAnsi"/>
          <w:color w:val="333333"/>
          <w:lang w:eastAsia="en-AU"/>
        </w:rPr>
        <w:t xml:space="preserve"> un savoir de </w:t>
      </w:r>
      <w:proofErr w:type="spellStart"/>
      <w:r w:rsidRPr="00B36472">
        <w:rPr>
          <w:rFonts w:eastAsia="Times New Roman" w:cstheme="minorHAnsi"/>
          <w:color w:val="333333"/>
          <w:lang w:eastAsia="en-AU"/>
        </w:rPr>
        <w:t>soi</w:t>
      </w:r>
      <w:proofErr w:type="spellEnd"/>
      <w:r w:rsidRPr="00B36472">
        <w:rPr>
          <w:rFonts w:eastAsia="Times New Roman" w:cstheme="minorHAnsi"/>
          <w:color w:val="333333"/>
          <w:lang w:eastAsia="en-AU"/>
        </w:rPr>
        <w:t xml:space="preserve">, un retour de la conscience </w:t>
      </w:r>
      <w:proofErr w:type="spellStart"/>
      <w:r w:rsidRPr="00B36472">
        <w:rPr>
          <w:rFonts w:eastAsia="Times New Roman" w:cstheme="minorHAnsi"/>
          <w:color w:val="333333"/>
          <w:lang w:eastAsia="en-AU"/>
        </w:rPr>
        <w:t>depuis</w:t>
      </w:r>
      <w:proofErr w:type="spellEnd"/>
      <w:r w:rsidRPr="00B36472">
        <w:rPr>
          <w:rFonts w:eastAsia="Times New Roman" w:cstheme="minorHAnsi"/>
          <w:color w:val="333333"/>
          <w:lang w:eastAsia="en-AU"/>
        </w:rPr>
        <w:t xml:space="preserve"> </w:t>
      </w:r>
      <w:proofErr w:type="spellStart"/>
      <w:r w:rsidRPr="00B36472">
        <w:rPr>
          <w:rFonts w:eastAsia="Times New Roman" w:cstheme="minorHAnsi"/>
          <w:color w:val="333333"/>
          <w:lang w:eastAsia="en-AU"/>
        </w:rPr>
        <w:t>l’être-autre</w:t>
      </w:r>
      <w:proofErr w:type="spellEnd"/>
      <w:r w:rsidRPr="00B36472">
        <w:rPr>
          <w:rFonts w:eastAsia="Times New Roman" w:cstheme="minorHAnsi"/>
          <w:color w:val="333333"/>
          <w:lang w:eastAsia="en-AU"/>
        </w:rPr>
        <w:t>.</w:t>
      </w:r>
      <w:r w:rsidRPr="00B36472">
        <w:rPr>
          <w:rFonts w:eastAsia="Times New Roman" w:cstheme="minorHAnsi"/>
          <w:color w:val="333333"/>
          <w:lang w:eastAsia="en-AU"/>
        </w:rPr>
        <w:br/>
        <w:t>-- French Wikipedia on Hegel</w:t>
      </w:r>
      <w:r w:rsidRPr="00B36472">
        <w:rPr>
          <w:rFonts w:eastAsia="Times New Roman" w:cstheme="minorHAnsi"/>
          <w:color w:val="333333"/>
          <w:lang w:eastAsia="en-AU"/>
        </w:rPr>
        <w:br/>
      </w:r>
      <w:r w:rsidRPr="00B36472">
        <w:rPr>
          <w:rFonts w:eastAsia="Times New Roman" w:cstheme="minorHAnsi"/>
          <w:color w:val="333333"/>
          <w:lang w:eastAsia="en-AU"/>
        </w:rPr>
        <w:br/>
        <w:t>During the nineteenth century, the figure of Hamlet underwent a shift from being the central character in one of Shakespeare’s most ambitious and exciting plays to being, far more than any of Shakespeare’s explicitly “poet” characters, an emblem of the poet—“</w:t>
      </w:r>
      <w:proofErr w:type="spellStart"/>
      <w:r w:rsidRPr="00B36472">
        <w:rPr>
          <w:rFonts w:eastAsia="Times New Roman" w:cstheme="minorHAnsi"/>
          <w:color w:val="333333"/>
          <w:lang w:eastAsia="en-AU"/>
        </w:rPr>
        <w:t>lisant</w:t>
      </w:r>
      <w:proofErr w:type="spellEnd"/>
      <w:r w:rsidRPr="00B36472">
        <w:rPr>
          <w:rFonts w:eastAsia="Times New Roman" w:cstheme="minorHAnsi"/>
          <w:color w:val="333333"/>
          <w:lang w:eastAsia="en-AU"/>
        </w:rPr>
        <w:t xml:space="preserve">,” as </w:t>
      </w:r>
      <w:proofErr w:type="spellStart"/>
      <w:r w:rsidRPr="00B36472">
        <w:rPr>
          <w:rFonts w:eastAsia="Times New Roman" w:cstheme="minorHAnsi"/>
          <w:color w:val="333333"/>
          <w:lang w:eastAsia="en-AU"/>
        </w:rPr>
        <w:t>Mallarmé</w:t>
      </w:r>
      <w:proofErr w:type="spellEnd"/>
      <w:r w:rsidRPr="00B36472">
        <w:rPr>
          <w:rFonts w:eastAsia="Times New Roman" w:cstheme="minorHAnsi"/>
          <w:color w:val="333333"/>
          <w:lang w:eastAsia="en-AU"/>
        </w:rPr>
        <w:t xml:space="preserve"> put it, “</w:t>
      </w:r>
      <w:proofErr w:type="spellStart"/>
      <w:r w:rsidRPr="00B36472">
        <w:rPr>
          <w:rFonts w:eastAsia="Times New Roman" w:cstheme="minorHAnsi"/>
          <w:color w:val="333333"/>
          <w:lang w:eastAsia="en-AU"/>
        </w:rPr>
        <w:t>dans</w:t>
      </w:r>
      <w:proofErr w:type="spellEnd"/>
      <w:r w:rsidRPr="00B36472">
        <w:rPr>
          <w:rFonts w:eastAsia="Times New Roman" w:cstheme="minorHAnsi"/>
          <w:color w:val="333333"/>
          <w:lang w:eastAsia="en-AU"/>
        </w:rPr>
        <w:t xml:space="preserve"> le </w:t>
      </w:r>
      <w:proofErr w:type="spellStart"/>
      <w:r w:rsidRPr="00B36472">
        <w:rPr>
          <w:rFonts w:eastAsia="Times New Roman" w:cstheme="minorHAnsi"/>
          <w:color w:val="333333"/>
          <w:lang w:eastAsia="en-AU"/>
        </w:rPr>
        <w:t>Livre</w:t>
      </w:r>
      <w:proofErr w:type="spellEnd"/>
      <w:r w:rsidRPr="00B36472">
        <w:rPr>
          <w:rFonts w:eastAsia="Times New Roman" w:cstheme="minorHAnsi"/>
          <w:color w:val="333333"/>
          <w:lang w:eastAsia="en-AU"/>
        </w:rPr>
        <w:t xml:space="preserve"> de </w:t>
      </w:r>
      <w:proofErr w:type="spellStart"/>
      <w:r w:rsidRPr="00B36472">
        <w:rPr>
          <w:rFonts w:eastAsia="Times New Roman" w:cstheme="minorHAnsi"/>
          <w:color w:val="333333"/>
          <w:lang w:eastAsia="en-AU"/>
        </w:rPr>
        <w:t>lui-même</w:t>
      </w:r>
      <w:proofErr w:type="spellEnd"/>
      <w:r w:rsidRPr="00B36472">
        <w:rPr>
          <w:rFonts w:eastAsia="Times New Roman" w:cstheme="minorHAnsi"/>
          <w:color w:val="333333"/>
          <w:lang w:eastAsia="en-AU"/>
        </w:rPr>
        <w:t xml:space="preserve">” (reading in the Book of himself). What Hamlet represented to </w:t>
      </w:r>
      <w:proofErr w:type="spellStart"/>
      <w:r w:rsidRPr="00B36472">
        <w:rPr>
          <w:rFonts w:eastAsia="Times New Roman" w:cstheme="minorHAnsi"/>
          <w:color w:val="333333"/>
          <w:lang w:eastAsia="en-AU"/>
        </w:rPr>
        <w:t>Mallarmé</w:t>
      </w:r>
      <w:proofErr w:type="spellEnd"/>
      <w:r w:rsidRPr="00B36472">
        <w:rPr>
          <w:rFonts w:eastAsia="Times New Roman" w:cstheme="minorHAnsi"/>
          <w:color w:val="333333"/>
          <w:lang w:eastAsia="en-AU"/>
        </w:rPr>
        <w:t xml:space="preserve"> was man confronting his “inner life.” He burns with what Wordsworth called “that inward eye / </w:t>
      </w:r>
      <w:proofErr w:type="gramStart"/>
      <w:r w:rsidRPr="00B36472">
        <w:rPr>
          <w:rFonts w:eastAsia="Times New Roman" w:cstheme="minorHAnsi"/>
          <w:color w:val="333333"/>
          <w:lang w:eastAsia="en-AU"/>
        </w:rPr>
        <w:t>Which</w:t>
      </w:r>
      <w:proofErr w:type="gramEnd"/>
      <w:r w:rsidRPr="00B36472">
        <w:rPr>
          <w:rFonts w:eastAsia="Times New Roman" w:cstheme="minorHAnsi"/>
          <w:color w:val="333333"/>
          <w:lang w:eastAsia="en-AU"/>
        </w:rPr>
        <w:t xml:space="preserve"> is the bliss of solitude.”</w:t>
      </w:r>
      <w:r w:rsidRPr="00B36472">
        <w:rPr>
          <w:rFonts w:eastAsia="Times New Roman" w:cstheme="minorHAnsi"/>
          <w:color w:val="333333"/>
          <w:lang w:eastAsia="en-AU"/>
        </w:rPr>
        <w:br/>
      </w:r>
      <w:r w:rsidRPr="00B36472">
        <w:rPr>
          <w:rFonts w:eastAsia="Times New Roman" w:cstheme="minorHAnsi"/>
          <w:color w:val="333333"/>
          <w:lang w:eastAsia="en-AU"/>
        </w:rPr>
        <w:br/>
        <w:t xml:space="preserve">I think the central issue of Romanticism is the issue Rousseau calls “conscience de </w:t>
      </w:r>
      <w:proofErr w:type="spellStart"/>
      <w:r w:rsidRPr="00B36472">
        <w:rPr>
          <w:rFonts w:eastAsia="Times New Roman" w:cstheme="minorHAnsi"/>
          <w:color w:val="333333"/>
          <w:lang w:eastAsia="en-AU"/>
        </w:rPr>
        <w:t>soi</w:t>
      </w:r>
      <w:proofErr w:type="spellEnd"/>
      <w:r w:rsidRPr="00B36472">
        <w:rPr>
          <w:rFonts w:eastAsia="Times New Roman" w:cstheme="minorHAnsi"/>
          <w:color w:val="333333"/>
          <w:lang w:eastAsia="en-AU"/>
        </w:rPr>
        <w:t>”: self consciousness. The poetry reaches far back into Christian modes of “confession,” as in Saint Augustine, and attempts to find ways in which “consciousness,” “inwardness” can be brought to light. This poetry includes both the intense desire for self-consciousness (as in Wordsworth) and the fear of it (as in Keats’ “</w:t>
      </w:r>
      <w:proofErr w:type="spellStart"/>
      <w:r w:rsidRPr="00B36472">
        <w:rPr>
          <w:rFonts w:eastAsia="Times New Roman" w:cstheme="minorHAnsi"/>
          <w:color w:val="333333"/>
          <w:lang w:eastAsia="en-AU"/>
        </w:rPr>
        <w:t>Lamia</w:t>
      </w:r>
      <w:proofErr w:type="spellEnd"/>
      <w:r w:rsidRPr="00B36472">
        <w:rPr>
          <w:rFonts w:eastAsia="Times New Roman" w:cstheme="minorHAnsi"/>
          <w:color w:val="333333"/>
          <w:lang w:eastAsia="en-AU"/>
        </w:rPr>
        <w:t xml:space="preserve">”). What does selfhood taste like? How can one describe “soul”? There is also of course the demonic aspect of selfhood—its manifestation as a powerful “underground,” as in Baudelaire or even Jack Kerouac (“the </w:t>
      </w:r>
      <w:proofErr w:type="spellStart"/>
      <w:r w:rsidRPr="00B36472">
        <w:rPr>
          <w:rFonts w:eastAsia="Times New Roman" w:cstheme="minorHAnsi"/>
          <w:color w:val="333333"/>
          <w:lang w:eastAsia="en-AU"/>
        </w:rPr>
        <w:t>subterraneans</w:t>
      </w:r>
      <w:proofErr w:type="spellEnd"/>
      <w:r w:rsidRPr="00B36472">
        <w:rPr>
          <w:rFonts w:eastAsia="Times New Roman" w:cstheme="minorHAnsi"/>
          <w:color w:val="333333"/>
          <w:lang w:eastAsia="en-AU"/>
        </w:rPr>
        <w:t>”). One thinks of Coleridge’s Ancient Mariner, whose terrifying self-awareness brings him to the anguished point of admitting his primal crime: “With my crossbow / I shot the albatross.”</w:t>
      </w:r>
      <w:r w:rsidRPr="00B36472">
        <w:rPr>
          <w:rFonts w:eastAsia="Times New Roman" w:cstheme="minorHAnsi"/>
          <w:color w:val="333333"/>
          <w:lang w:eastAsia="en-AU"/>
        </w:rPr>
        <w:br/>
      </w:r>
      <w:r w:rsidRPr="00B36472">
        <w:rPr>
          <w:rFonts w:eastAsia="Times New Roman" w:cstheme="minorHAnsi"/>
          <w:color w:val="333333"/>
          <w:lang w:eastAsia="en-AU"/>
        </w:rPr>
        <w:br/>
        <w:t>I agree with Paul de Man (a mentor of mine at Cornell) that “What sets out as a claim to overcome Romanticism often turns out to be merely an expansion of our understanding of the movement” and that Modernism—despite its frequent explicit rejection of Romanticism—is in fact a thorough-going example of it. In general Romanticism marks the shift from thinking of poetry as a “craft” (and of the poet as “maker”) to thinking of it as a provoker of consciousness, even a creator of consciousness.</w:t>
      </w:r>
      <w:r w:rsidRPr="00B36472">
        <w:rPr>
          <w:rFonts w:eastAsia="Times New Roman" w:cstheme="minorHAnsi"/>
          <w:color w:val="333333"/>
          <w:lang w:eastAsia="en-AU"/>
        </w:rPr>
        <w:br/>
      </w:r>
      <w:r w:rsidRPr="00B36472">
        <w:rPr>
          <w:rFonts w:eastAsia="Times New Roman" w:cstheme="minorHAnsi"/>
          <w:color w:val="333333"/>
          <w:lang w:eastAsia="en-AU"/>
        </w:rPr>
        <w:br/>
        <w:t xml:space="preserve">From a historical point of view, the notion that poetry is the expression of the “hidden self,” of a “deeper” consciousness, was initially liberating: the sense that we each had an “inner” life that was different from our “outer” life, our life with people, and of poetry as expressing that inner life. Wordsworth could make “the growth of a poet’s mind” his primary subject; Thomas de </w:t>
      </w:r>
      <w:proofErr w:type="spellStart"/>
      <w:r w:rsidRPr="00B36472">
        <w:rPr>
          <w:rFonts w:eastAsia="Times New Roman" w:cstheme="minorHAnsi"/>
          <w:color w:val="333333"/>
          <w:lang w:eastAsia="en-AU"/>
        </w:rPr>
        <w:t>Quincey</w:t>
      </w:r>
      <w:proofErr w:type="spellEnd"/>
      <w:r w:rsidRPr="00B36472">
        <w:rPr>
          <w:rFonts w:eastAsia="Times New Roman" w:cstheme="minorHAnsi"/>
          <w:color w:val="333333"/>
          <w:lang w:eastAsia="en-AU"/>
        </w:rPr>
        <w:t xml:space="preserve"> could make dreams his. Yet the notion of exactly what constitutes an “inner” life becomes extremely </w:t>
      </w:r>
      <w:r w:rsidRPr="00B36472">
        <w:rPr>
          <w:rFonts w:eastAsia="Times New Roman" w:cstheme="minorHAnsi"/>
          <w:color w:val="333333"/>
          <w:lang w:eastAsia="en-AU"/>
        </w:rPr>
        <w:lastRenderedPageBreak/>
        <w:t xml:space="preserve">complicated during the 20th century. Various people (Freud among others) discover that some parts of “the mind” are completely unaware of what other parts of “the mind” are doing. The “inner life” of the 20th century is divided, complex, multiple—and what we think we believe, what we assert with our “egos,” may well be </w:t>
      </w:r>
      <w:proofErr w:type="spellStart"/>
      <w:r w:rsidRPr="00B36472">
        <w:rPr>
          <w:rFonts w:eastAsia="Times New Roman" w:cstheme="minorHAnsi"/>
          <w:color w:val="333333"/>
          <w:lang w:eastAsia="en-AU"/>
        </w:rPr>
        <w:t>colored</w:t>
      </w:r>
      <w:proofErr w:type="spellEnd"/>
      <w:r w:rsidRPr="00B36472">
        <w:rPr>
          <w:rFonts w:eastAsia="Times New Roman" w:cstheme="minorHAnsi"/>
          <w:color w:val="333333"/>
          <w:lang w:eastAsia="en-AU"/>
        </w:rPr>
        <w:t xml:space="preserve"> by feelings and drives of which we are unaware. How can artists assert a fullness of mind? How can we allow those unrecognized areas of the mind to speak alongside the areas we recognize?</w:t>
      </w:r>
      <w:r w:rsidRPr="00B36472">
        <w:rPr>
          <w:rFonts w:eastAsia="Times New Roman" w:cstheme="minorHAnsi"/>
          <w:color w:val="333333"/>
          <w:lang w:eastAsia="en-AU"/>
        </w:rPr>
        <w:br/>
      </w:r>
      <w:r w:rsidRPr="00B36472">
        <w:rPr>
          <w:rFonts w:eastAsia="Times New Roman" w:cstheme="minorHAnsi"/>
          <w:color w:val="333333"/>
          <w:lang w:eastAsia="en-AU"/>
        </w:rPr>
        <w:br/>
        <w:t xml:space="preserve">If poetry is particularly the domain of the “inner life,” then it is precisely not the domain of </w:t>
      </w:r>
      <w:proofErr w:type="gramStart"/>
      <w:r w:rsidRPr="00B36472">
        <w:rPr>
          <w:rFonts w:eastAsia="Times New Roman" w:cstheme="minorHAnsi"/>
          <w:color w:val="333333"/>
          <w:lang w:eastAsia="en-AU"/>
        </w:rPr>
        <w:t>the I</w:t>
      </w:r>
      <w:proofErr w:type="gramEnd"/>
      <w:r w:rsidRPr="00B36472">
        <w:rPr>
          <w:rFonts w:eastAsia="Times New Roman" w:cstheme="minorHAnsi"/>
          <w:color w:val="333333"/>
          <w:lang w:eastAsia="en-AU"/>
        </w:rPr>
        <w:t xml:space="preserve">. The notion that poetry is the domain of </w:t>
      </w:r>
      <w:proofErr w:type="gramStart"/>
      <w:r w:rsidRPr="00B36472">
        <w:rPr>
          <w:rFonts w:eastAsia="Times New Roman" w:cstheme="minorHAnsi"/>
          <w:color w:val="333333"/>
          <w:lang w:eastAsia="en-AU"/>
        </w:rPr>
        <w:t>the I</w:t>
      </w:r>
      <w:proofErr w:type="gramEnd"/>
      <w:r w:rsidRPr="00B36472">
        <w:rPr>
          <w:rFonts w:eastAsia="Times New Roman" w:cstheme="minorHAnsi"/>
          <w:color w:val="333333"/>
          <w:lang w:eastAsia="en-AU"/>
        </w:rPr>
        <w:t xml:space="preserve"> comes from the ideology of individualism—a term whose etymology insists that we are “not divided.” If we are individuals, then of course we are most authentic when we speak from the point of view of our individuality, from the point of view of our </w:t>
      </w:r>
      <w:proofErr w:type="gramStart"/>
      <w:r w:rsidRPr="00B36472">
        <w:rPr>
          <w:rFonts w:eastAsia="Times New Roman" w:cstheme="minorHAnsi"/>
          <w:color w:val="333333"/>
          <w:lang w:eastAsia="en-AU"/>
        </w:rPr>
        <w:t>I</w:t>
      </w:r>
      <w:proofErr w:type="gramEnd"/>
      <w:r w:rsidRPr="00B36472">
        <w:rPr>
          <w:rFonts w:eastAsia="Times New Roman" w:cstheme="minorHAnsi"/>
          <w:color w:val="333333"/>
          <w:lang w:eastAsia="en-AU"/>
        </w:rPr>
        <w:t xml:space="preserve">. But what if </w:t>
      </w:r>
      <w:proofErr w:type="gramStart"/>
      <w:r w:rsidRPr="00B36472">
        <w:rPr>
          <w:rFonts w:eastAsia="Times New Roman" w:cstheme="minorHAnsi"/>
          <w:color w:val="333333"/>
          <w:lang w:eastAsia="en-AU"/>
        </w:rPr>
        <w:t>the I</w:t>
      </w:r>
      <w:proofErr w:type="gramEnd"/>
      <w:r w:rsidRPr="00B36472">
        <w:rPr>
          <w:rFonts w:eastAsia="Times New Roman" w:cstheme="minorHAnsi"/>
          <w:color w:val="333333"/>
          <w:lang w:eastAsia="en-AU"/>
        </w:rPr>
        <w:t xml:space="preserve"> is in fact multiple, divided, full of many contradictory elements not all of which are even recognized? What if </w:t>
      </w:r>
      <w:proofErr w:type="gramStart"/>
      <w:r w:rsidRPr="00B36472">
        <w:rPr>
          <w:rFonts w:eastAsia="Times New Roman" w:cstheme="minorHAnsi"/>
          <w:color w:val="333333"/>
          <w:lang w:eastAsia="en-AU"/>
        </w:rPr>
        <w:t>the I</w:t>
      </w:r>
      <w:proofErr w:type="gramEnd"/>
      <w:r w:rsidRPr="00B36472">
        <w:rPr>
          <w:rFonts w:eastAsia="Times New Roman" w:cstheme="minorHAnsi"/>
          <w:color w:val="333333"/>
          <w:lang w:eastAsia="en-AU"/>
        </w:rPr>
        <w:t xml:space="preserve"> is not the unity that the word I presupposes it to be? What sort of poetry is generated by such a conception of the “inner life”? What was the “Romantic” stance about such matters?</w:t>
      </w:r>
      <w:r w:rsidRPr="00B36472">
        <w:rPr>
          <w:rFonts w:eastAsia="Times New Roman" w:cstheme="minorHAnsi"/>
          <w:color w:val="333333"/>
          <w:lang w:eastAsia="en-AU"/>
        </w:rPr>
        <w:br/>
      </w:r>
      <w:r w:rsidRPr="00B36472">
        <w:rPr>
          <w:rFonts w:eastAsia="Times New Roman" w:cstheme="minorHAnsi"/>
          <w:color w:val="333333"/>
          <w:lang w:eastAsia="en-AU"/>
        </w:rPr>
        <w:br/>
        <w:t xml:space="preserve">The “inwardness” professed by the Romantics has many sources, but one of the most important is Shakespeare’s plays. The many radical contradictions that haunt a play such as Hamlet </w:t>
      </w:r>
      <w:proofErr w:type="gramStart"/>
      <w:r w:rsidRPr="00B36472">
        <w:rPr>
          <w:rFonts w:eastAsia="Times New Roman" w:cstheme="minorHAnsi"/>
          <w:color w:val="333333"/>
          <w:lang w:eastAsia="en-AU"/>
        </w:rPr>
        <w:t>suggest</w:t>
      </w:r>
      <w:proofErr w:type="gramEnd"/>
      <w:r w:rsidRPr="00B36472">
        <w:rPr>
          <w:rFonts w:eastAsia="Times New Roman" w:cstheme="minorHAnsi"/>
          <w:color w:val="333333"/>
          <w:lang w:eastAsia="en-AU"/>
        </w:rPr>
        <w:t xml:space="preserve"> a consciousness at home in incoherence. Keats’ </w:t>
      </w:r>
      <w:hyperlink r:id="rId6" w:history="1">
        <w:r w:rsidRPr="00B36472">
          <w:rPr>
            <w:rFonts w:eastAsia="Times New Roman" w:cstheme="minorHAnsi"/>
            <w:color w:val="5588AA"/>
            <w:lang w:eastAsia="en-AU"/>
          </w:rPr>
          <w:t xml:space="preserve">Ode on a Grecian Urn </w:t>
        </w:r>
      </w:hyperlink>
      <w:r w:rsidRPr="00B36472">
        <w:rPr>
          <w:rFonts w:eastAsia="Times New Roman" w:cstheme="minorHAnsi"/>
          <w:color w:val="333333"/>
          <w:lang w:eastAsia="en-AU"/>
        </w:rPr>
        <w:t>is not usually read in that way, but I think it’s possible to do so.</w:t>
      </w:r>
      <w:r w:rsidRPr="00B36472">
        <w:rPr>
          <w:rFonts w:eastAsia="Times New Roman" w:cstheme="minorHAnsi"/>
          <w:color w:val="333333"/>
          <w:lang w:eastAsia="en-AU"/>
        </w:rPr>
        <w:br/>
      </w:r>
      <w:r w:rsidRPr="00B36472">
        <w:rPr>
          <w:rFonts w:eastAsia="Times New Roman" w:cstheme="minorHAnsi"/>
          <w:color w:val="333333"/>
          <w:lang w:eastAsia="en-AU"/>
        </w:rPr>
        <w:br/>
        <w:t>Keats begins with desire, sexuality: “Thou still unravished bride....” The violence implied by the word “ravished” is immediately “quieted,” however, with an abstraction about quietness: “...bride of quietness.” In the second line, “foster child”--a phenomenon of our world--is balanced against the abstractions “silence and slow time.” Each stanza--an Italian sonnet minus a quatrain--has a feeling of great formality: one expects abstractions and elegance from such forms, and Keats supplies them in abundance. Nothing is terribly “real” in this deliberately artificial context.</w:t>
      </w:r>
      <w:r w:rsidRPr="00B36472">
        <w:rPr>
          <w:rFonts w:eastAsia="Times New Roman" w:cstheme="minorHAnsi"/>
          <w:color w:val="333333"/>
          <w:lang w:eastAsia="en-AU"/>
        </w:rPr>
        <w:br/>
      </w:r>
      <w:r w:rsidRPr="00B36472">
        <w:rPr>
          <w:rFonts w:eastAsia="Times New Roman" w:cstheme="minorHAnsi"/>
          <w:color w:val="333333"/>
          <w:lang w:eastAsia="en-AU"/>
        </w:rPr>
        <w:br/>
        <w:t xml:space="preserve">The assertion that the urn can “express...A flowery tale more sweetly than our rhyme” is a graceful compliment—the sort of “flowery” compliment one might pay to a woman one wishes to interest, not something anyone takes to be quite true. Something of the same thing can be said of Keats’ “deities or mortals”: we understand that these are literary or “artistic” figures—figures, not people—though the sexuality of “still unravished” is now given greater emphasis: “What maidens </w:t>
      </w:r>
      <w:proofErr w:type="spellStart"/>
      <w:r w:rsidRPr="00B36472">
        <w:rPr>
          <w:rFonts w:eastAsia="Times New Roman" w:cstheme="minorHAnsi"/>
          <w:color w:val="333333"/>
          <w:lang w:eastAsia="en-AU"/>
        </w:rPr>
        <w:t>loth</w:t>
      </w:r>
      <w:proofErr w:type="spellEnd"/>
      <w:r w:rsidRPr="00B36472">
        <w:rPr>
          <w:rFonts w:eastAsia="Times New Roman" w:cstheme="minorHAnsi"/>
          <w:color w:val="333333"/>
          <w:lang w:eastAsia="en-AU"/>
        </w:rPr>
        <w:t>? / What mad pursuit</w:t>
      </w:r>
      <w:proofErr w:type="gramStart"/>
      <w:r w:rsidRPr="00B36472">
        <w:rPr>
          <w:rFonts w:eastAsia="Times New Roman" w:cstheme="minorHAnsi"/>
          <w:color w:val="333333"/>
          <w:lang w:eastAsia="en-AU"/>
        </w:rPr>
        <w:t>?...</w:t>
      </w:r>
      <w:proofErr w:type="gramEnd"/>
      <w:r w:rsidRPr="00B36472">
        <w:rPr>
          <w:rFonts w:eastAsia="Times New Roman" w:cstheme="minorHAnsi"/>
          <w:color w:val="333333"/>
          <w:lang w:eastAsia="en-AU"/>
        </w:rPr>
        <w:t>What wild ecstasy?”</w:t>
      </w:r>
      <w:r w:rsidRPr="00B36472">
        <w:rPr>
          <w:rFonts w:eastAsia="Times New Roman" w:cstheme="minorHAnsi"/>
          <w:color w:val="333333"/>
          <w:lang w:eastAsia="en-AU"/>
        </w:rPr>
        <w:br/>
      </w:r>
      <w:r w:rsidRPr="00B36472">
        <w:rPr>
          <w:rFonts w:eastAsia="Times New Roman" w:cstheme="minorHAnsi"/>
          <w:color w:val="333333"/>
          <w:lang w:eastAsia="en-AU"/>
        </w:rPr>
        <w:br/>
        <w:t xml:space="preserve">The second and third stanzas gave us light paradoxes which are not meant to be thought of too </w:t>
      </w:r>
      <w:r w:rsidRPr="00B36472">
        <w:rPr>
          <w:rFonts w:eastAsia="Times New Roman" w:cstheme="minorHAnsi"/>
          <w:color w:val="333333"/>
          <w:lang w:eastAsia="en-AU"/>
        </w:rPr>
        <w:lastRenderedPageBreak/>
        <w:t>deeply or challenged in any way. Are “unheard” melodies sweeter than “heard melodies”? What is an unheard melody anyway? Keats assures us with a cliché: an unheard melody is something addressed “not to the sensual ear” but “to the spirit.” Again, we are not to question too much. We are in some sort of vague version of idealism—some sort of conception in which the “ideal” is to be preferred to the “real.” And the urn seems to express that idealism. Nothing is ever consummated—we are still in the realm of the “unravished bride”—but, on the other hand, desire is never quenched. Such a state, Keats argues lightly, is better than a situation in which consummation occurs. Had the scene on the urn presented forever an image of Blake’s “gratified desire,” Keats’ poem would have been profoundly altered: instead of perpetual desire we would have had perpetual orgasm—a state which is not so easily identified with “idealism.” Doesn’t Keats have a body?</w:t>
      </w:r>
      <w:r w:rsidRPr="00B36472">
        <w:rPr>
          <w:rFonts w:eastAsia="Times New Roman" w:cstheme="minorHAnsi"/>
          <w:color w:val="333333"/>
          <w:lang w:eastAsia="en-AU"/>
        </w:rPr>
        <w:br/>
      </w:r>
      <w:r w:rsidRPr="00B36472">
        <w:rPr>
          <w:rFonts w:eastAsia="Times New Roman" w:cstheme="minorHAnsi"/>
          <w:color w:val="333333"/>
          <w:lang w:eastAsia="en-AU"/>
        </w:rPr>
        <w:br/>
        <w:t xml:space="preserve">He does, and it surfaces a few lines later. He attempts to put the best face possible on his assertion about the desirability of a state of perpetual sexual frustration by linking it to a state of eternal springtime—a state of paradise, though not quite the paradise of Genesis. He remains in a Classical context: “Ah, happy, happy boughs! That cannot shed / </w:t>
      </w:r>
      <w:proofErr w:type="gramStart"/>
      <w:r w:rsidRPr="00B36472">
        <w:rPr>
          <w:rFonts w:eastAsia="Times New Roman" w:cstheme="minorHAnsi"/>
          <w:color w:val="333333"/>
          <w:lang w:eastAsia="en-AU"/>
        </w:rPr>
        <w:t>Your</w:t>
      </w:r>
      <w:proofErr w:type="gramEnd"/>
      <w:r w:rsidRPr="00B36472">
        <w:rPr>
          <w:rFonts w:eastAsia="Times New Roman" w:cstheme="minorHAnsi"/>
          <w:color w:val="333333"/>
          <w:lang w:eastAsia="en-AU"/>
        </w:rPr>
        <w:t xml:space="preserve"> leaves, nor ever bid the spring adieu….” The “happy melodist” reminds us of the “shepherd” of pastoral poetry—the kind of thing both Spenser and Milton wrote. Yet the moment “human passion” is mentioned, the poem suddenly takes on a quality it has not had before. These lines are not fanciful, artificial or playfully paradoxical; they are utterly real</w:t>
      </w:r>
      <w:proofErr w:type="gramStart"/>
      <w:r w:rsidRPr="00B36472">
        <w:rPr>
          <w:rFonts w:eastAsia="Times New Roman" w:cstheme="minorHAnsi"/>
          <w:color w:val="333333"/>
          <w:lang w:eastAsia="en-AU"/>
        </w:rPr>
        <w:t>:</w:t>
      </w:r>
      <w:proofErr w:type="gramEnd"/>
      <w:r w:rsidRPr="00B36472">
        <w:rPr>
          <w:rFonts w:eastAsia="Times New Roman" w:cstheme="minorHAnsi"/>
          <w:color w:val="333333"/>
          <w:lang w:eastAsia="en-AU"/>
        </w:rPr>
        <w:br/>
      </w:r>
      <w:r w:rsidRPr="00B36472">
        <w:rPr>
          <w:rFonts w:eastAsia="Times New Roman" w:cstheme="minorHAnsi"/>
          <w:color w:val="333333"/>
          <w:lang w:eastAsia="en-AU"/>
        </w:rPr>
        <w:br/>
      </w:r>
      <w:r w:rsidRPr="00B36472">
        <w:rPr>
          <w:rFonts w:eastAsia="Times New Roman" w:cstheme="minorHAnsi"/>
          <w:i/>
          <w:iCs/>
          <w:color w:val="333333"/>
          <w:lang w:eastAsia="en-AU"/>
        </w:rPr>
        <w:t>That leaves a heart high-sorrowful and cloyed,</w:t>
      </w:r>
      <w:r w:rsidRPr="00B36472">
        <w:rPr>
          <w:rFonts w:eastAsia="Times New Roman" w:cstheme="minorHAnsi"/>
          <w:i/>
          <w:iCs/>
          <w:color w:val="333333"/>
          <w:lang w:eastAsia="en-AU"/>
        </w:rPr>
        <w:br/>
        <w:t>A burning forehead, and a parching tongue.</w:t>
      </w:r>
      <w:r w:rsidRPr="00B36472">
        <w:rPr>
          <w:rFonts w:eastAsia="Times New Roman" w:cstheme="minorHAnsi"/>
          <w:color w:val="333333"/>
          <w:lang w:eastAsia="en-AU"/>
        </w:rPr>
        <w:br/>
      </w:r>
      <w:r w:rsidRPr="00B36472">
        <w:rPr>
          <w:rFonts w:eastAsia="Times New Roman" w:cstheme="minorHAnsi"/>
          <w:color w:val="333333"/>
          <w:lang w:eastAsia="en-AU"/>
        </w:rPr>
        <w:br/>
        <w:t>That “burning forehead” and “parching tongue” might well be characteristics of a frustrated lover, though they also suggest human diseases with which Keats was certainly familiar. It is as if the poet’s own sexual frustration, which he has been attempting to disguise as idealism, suddenly bursts forth in the form of bodily illness.</w:t>
      </w:r>
      <w:r w:rsidRPr="00B36472">
        <w:rPr>
          <w:rFonts w:eastAsia="Times New Roman" w:cstheme="minorHAnsi"/>
          <w:color w:val="333333"/>
          <w:lang w:eastAsia="en-AU"/>
        </w:rPr>
        <w:br/>
      </w:r>
      <w:r w:rsidRPr="00B36472">
        <w:rPr>
          <w:rFonts w:eastAsia="Times New Roman" w:cstheme="minorHAnsi"/>
          <w:color w:val="333333"/>
          <w:lang w:eastAsia="en-AU"/>
        </w:rPr>
        <w:br/>
        <w:t>But like the earlier phrase “foster child,” the lines’ touch of reality is only momentary; the poem is not yet ready to take on such questions. In relief perhaps, Keats turns to another side of the urn and attempts to regain the balance and control of the opening lines</w:t>
      </w:r>
      <w:proofErr w:type="gramStart"/>
      <w:r w:rsidRPr="00B36472">
        <w:rPr>
          <w:rFonts w:eastAsia="Times New Roman" w:cstheme="minorHAnsi"/>
          <w:color w:val="333333"/>
          <w:lang w:eastAsia="en-AU"/>
        </w:rPr>
        <w:t>:</w:t>
      </w:r>
      <w:proofErr w:type="gramEnd"/>
      <w:r w:rsidRPr="00B36472">
        <w:rPr>
          <w:rFonts w:eastAsia="Times New Roman" w:cstheme="minorHAnsi"/>
          <w:color w:val="333333"/>
          <w:lang w:eastAsia="en-AU"/>
        </w:rPr>
        <w:br/>
      </w:r>
      <w:r w:rsidRPr="00B36472">
        <w:rPr>
          <w:rFonts w:eastAsia="Times New Roman" w:cstheme="minorHAnsi"/>
          <w:color w:val="333333"/>
          <w:lang w:eastAsia="en-AU"/>
        </w:rPr>
        <w:br/>
      </w:r>
      <w:r w:rsidRPr="00B36472">
        <w:rPr>
          <w:rFonts w:eastAsia="Times New Roman" w:cstheme="minorHAnsi"/>
          <w:i/>
          <w:iCs/>
          <w:color w:val="333333"/>
          <w:lang w:eastAsia="en-AU"/>
        </w:rPr>
        <w:t>Who are these coming to the sacrifice?</w:t>
      </w:r>
      <w:r w:rsidRPr="00B36472">
        <w:rPr>
          <w:rFonts w:eastAsia="Times New Roman" w:cstheme="minorHAnsi"/>
          <w:i/>
          <w:iCs/>
          <w:color w:val="333333"/>
          <w:lang w:eastAsia="en-AU"/>
        </w:rPr>
        <w:br/>
        <w:t>To what green altar, O mysterious priest</w:t>
      </w:r>
      <w:proofErr w:type="gramStart"/>
      <w:r w:rsidRPr="00B36472">
        <w:rPr>
          <w:rFonts w:eastAsia="Times New Roman" w:cstheme="minorHAnsi"/>
          <w:i/>
          <w:iCs/>
          <w:color w:val="333333"/>
          <w:lang w:eastAsia="en-AU"/>
        </w:rPr>
        <w:t>,</w:t>
      </w:r>
      <w:proofErr w:type="gramEnd"/>
      <w:r w:rsidRPr="00B36472">
        <w:rPr>
          <w:rFonts w:eastAsia="Times New Roman" w:cstheme="minorHAnsi"/>
          <w:i/>
          <w:iCs/>
          <w:color w:val="333333"/>
          <w:lang w:eastAsia="en-AU"/>
        </w:rPr>
        <w:br/>
      </w:r>
      <w:proofErr w:type="spellStart"/>
      <w:r w:rsidRPr="00B36472">
        <w:rPr>
          <w:rFonts w:eastAsia="Times New Roman" w:cstheme="minorHAnsi"/>
          <w:i/>
          <w:iCs/>
          <w:color w:val="333333"/>
          <w:lang w:eastAsia="en-AU"/>
        </w:rPr>
        <w:t>Lead’st</w:t>
      </w:r>
      <w:proofErr w:type="spellEnd"/>
      <w:r w:rsidRPr="00B36472">
        <w:rPr>
          <w:rFonts w:eastAsia="Times New Roman" w:cstheme="minorHAnsi"/>
          <w:i/>
          <w:iCs/>
          <w:color w:val="333333"/>
          <w:lang w:eastAsia="en-AU"/>
        </w:rPr>
        <w:t xml:space="preserve"> thou that heifer lowing at the skies…?</w:t>
      </w:r>
      <w:r w:rsidRPr="00B36472">
        <w:rPr>
          <w:rFonts w:eastAsia="Times New Roman" w:cstheme="minorHAnsi"/>
          <w:color w:val="333333"/>
          <w:lang w:eastAsia="en-AU"/>
        </w:rPr>
        <w:br/>
      </w:r>
      <w:r w:rsidRPr="00B36472">
        <w:rPr>
          <w:rFonts w:eastAsia="Times New Roman" w:cstheme="minorHAnsi"/>
          <w:color w:val="333333"/>
          <w:lang w:eastAsia="en-AU"/>
        </w:rPr>
        <w:lastRenderedPageBreak/>
        <w:br/>
        <w:t>Yet, coming after assertions of intense bodily distress, the word “sacrifice” and the heifer’s noisy “lowing at the skies” have overtones they would not have had under other circumstances. Doesn’t disease cause the “sacrifice” of people? Wasn’t Keats, who had been trained as a doctor, aware of such sacrifice? The feelings of desolation, of pain and sacrifice which have entered the poem almost against the poet’s wishes suddenly have a new place to express themselves. The town the people leave—which isn’t even represented on the urn—is suddenly seen not merely as empty but as desolate:</w:t>
      </w:r>
      <w:r w:rsidRPr="00B36472">
        <w:rPr>
          <w:rFonts w:eastAsia="Times New Roman" w:cstheme="minorHAnsi"/>
          <w:color w:val="333333"/>
          <w:lang w:eastAsia="en-AU"/>
        </w:rPr>
        <w:br/>
      </w:r>
      <w:r w:rsidRPr="00B36472">
        <w:rPr>
          <w:rFonts w:eastAsia="Times New Roman" w:cstheme="minorHAnsi"/>
          <w:color w:val="333333"/>
          <w:lang w:eastAsia="en-AU"/>
        </w:rPr>
        <w:br/>
      </w:r>
      <w:r w:rsidRPr="00B36472">
        <w:rPr>
          <w:rFonts w:eastAsia="Times New Roman" w:cstheme="minorHAnsi"/>
          <w:i/>
          <w:iCs/>
          <w:color w:val="333333"/>
          <w:lang w:eastAsia="en-AU"/>
        </w:rPr>
        <w:t>And, little town, thy streets for evermore</w:t>
      </w:r>
      <w:r w:rsidRPr="00B36472">
        <w:rPr>
          <w:rFonts w:eastAsia="Times New Roman" w:cstheme="minorHAnsi"/>
          <w:i/>
          <w:iCs/>
          <w:color w:val="333333"/>
          <w:lang w:eastAsia="en-AU"/>
        </w:rPr>
        <w:br/>
        <w:t>Will silent be; and not a soul to tell</w:t>
      </w:r>
      <w:r w:rsidRPr="00B36472">
        <w:rPr>
          <w:rFonts w:eastAsia="Times New Roman" w:cstheme="minorHAnsi"/>
          <w:i/>
          <w:iCs/>
          <w:color w:val="333333"/>
          <w:lang w:eastAsia="en-AU"/>
        </w:rPr>
        <w:br/>
        <w:t xml:space="preserve">Why thou art desolate, can </w:t>
      </w:r>
      <w:proofErr w:type="spellStart"/>
      <w:r w:rsidRPr="00B36472">
        <w:rPr>
          <w:rFonts w:eastAsia="Times New Roman" w:cstheme="minorHAnsi"/>
          <w:i/>
          <w:iCs/>
          <w:color w:val="333333"/>
          <w:lang w:eastAsia="en-AU"/>
        </w:rPr>
        <w:t>e’er</w:t>
      </w:r>
      <w:proofErr w:type="spellEnd"/>
      <w:r w:rsidRPr="00B36472">
        <w:rPr>
          <w:rFonts w:eastAsia="Times New Roman" w:cstheme="minorHAnsi"/>
          <w:i/>
          <w:iCs/>
          <w:color w:val="333333"/>
          <w:lang w:eastAsia="en-AU"/>
        </w:rPr>
        <w:t xml:space="preserve"> return.</w:t>
      </w:r>
      <w:r w:rsidRPr="00B36472">
        <w:rPr>
          <w:rFonts w:eastAsia="Times New Roman" w:cstheme="minorHAnsi"/>
          <w:color w:val="333333"/>
          <w:lang w:eastAsia="en-AU"/>
        </w:rPr>
        <w:br/>
      </w:r>
      <w:r w:rsidRPr="00B36472">
        <w:rPr>
          <w:rFonts w:eastAsia="Times New Roman" w:cstheme="minorHAnsi"/>
          <w:color w:val="333333"/>
          <w:lang w:eastAsia="en-AU"/>
        </w:rPr>
        <w:br/>
        <w:t xml:space="preserve">“Death,” says Hamlet, “is “the undiscovered country from whose bourn / No </w:t>
      </w:r>
      <w:proofErr w:type="spellStart"/>
      <w:r w:rsidRPr="00B36472">
        <w:rPr>
          <w:rFonts w:eastAsia="Times New Roman" w:cstheme="minorHAnsi"/>
          <w:color w:val="333333"/>
          <w:lang w:eastAsia="en-AU"/>
        </w:rPr>
        <w:t>traveler</w:t>
      </w:r>
      <w:proofErr w:type="spellEnd"/>
      <w:r w:rsidRPr="00B36472">
        <w:rPr>
          <w:rFonts w:eastAsia="Times New Roman" w:cstheme="minorHAnsi"/>
          <w:color w:val="333333"/>
          <w:lang w:eastAsia="en-AU"/>
        </w:rPr>
        <w:t xml:space="preserve"> returns.” Death (and perhaps a reference to Hamlet) has suddenly entered Keats’ poem: “not a soul to tell / </w:t>
      </w:r>
      <w:proofErr w:type="gramStart"/>
      <w:r w:rsidRPr="00B36472">
        <w:rPr>
          <w:rFonts w:eastAsia="Times New Roman" w:cstheme="minorHAnsi"/>
          <w:color w:val="333333"/>
          <w:lang w:eastAsia="en-AU"/>
        </w:rPr>
        <w:t>Why</w:t>
      </w:r>
      <w:proofErr w:type="gramEnd"/>
      <w:r w:rsidRPr="00B36472">
        <w:rPr>
          <w:rFonts w:eastAsia="Times New Roman" w:cstheme="minorHAnsi"/>
          <w:color w:val="333333"/>
          <w:lang w:eastAsia="en-AU"/>
        </w:rPr>
        <w:t xml:space="preserve"> thou art desolate, can </w:t>
      </w:r>
      <w:proofErr w:type="spellStart"/>
      <w:r w:rsidRPr="00B36472">
        <w:rPr>
          <w:rFonts w:eastAsia="Times New Roman" w:cstheme="minorHAnsi"/>
          <w:color w:val="333333"/>
          <w:lang w:eastAsia="en-AU"/>
        </w:rPr>
        <w:t>e’er</w:t>
      </w:r>
      <w:proofErr w:type="spellEnd"/>
      <w:r w:rsidRPr="00B36472">
        <w:rPr>
          <w:rFonts w:eastAsia="Times New Roman" w:cstheme="minorHAnsi"/>
          <w:color w:val="333333"/>
          <w:lang w:eastAsia="en-AU"/>
        </w:rPr>
        <w:t xml:space="preserve"> return.” The artificiality of the paradise Keats was trying to describe protects us against death. Yet that paradise utterly shatters against the actual presence of death in the poem—a presence which both we and Keats know to the bone and which is linked to sexual frustration, itself a kind of death.</w:t>
      </w:r>
      <w:r w:rsidRPr="00B36472">
        <w:rPr>
          <w:rFonts w:eastAsia="Times New Roman" w:cstheme="minorHAnsi"/>
          <w:color w:val="333333"/>
          <w:lang w:eastAsia="en-AU"/>
        </w:rPr>
        <w:br/>
      </w:r>
      <w:r w:rsidRPr="00B36472">
        <w:rPr>
          <w:rFonts w:eastAsia="Times New Roman" w:cstheme="minorHAnsi"/>
          <w:color w:val="333333"/>
          <w:lang w:eastAsia="en-AU"/>
        </w:rPr>
        <w:br/>
        <w:t xml:space="preserve">To paraphrase Keats’ “Ode to a Nightingale,” the word “desolate” “is like a bell / </w:t>
      </w:r>
      <w:proofErr w:type="gramStart"/>
      <w:r w:rsidRPr="00B36472">
        <w:rPr>
          <w:rFonts w:eastAsia="Times New Roman" w:cstheme="minorHAnsi"/>
          <w:color w:val="333333"/>
          <w:lang w:eastAsia="en-AU"/>
        </w:rPr>
        <w:t>To</w:t>
      </w:r>
      <w:proofErr w:type="gramEnd"/>
      <w:r w:rsidRPr="00B36472">
        <w:rPr>
          <w:rFonts w:eastAsia="Times New Roman" w:cstheme="minorHAnsi"/>
          <w:color w:val="333333"/>
          <w:lang w:eastAsia="en-AU"/>
        </w:rPr>
        <w:t xml:space="preserve"> toll me back from thee to my sole self”—to the very mortality the poet has been trying to escape by writing the poem. “The fancy,” he complains in the Nightingale Ode, “cannot cheat so well / </w:t>
      </w:r>
      <w:proofErr w:type="gramStart"/>
      <w:r w:rsidRPr="00B36472">
        <w:rPr>
          <w:rFonts w:eastAsia="Times New Roman" w:cstheme="minorHAnsi"/>
          <w:color w:val="333333"/>
          <w:lang w:eastAsia="en-AU"/>
        </w:rPr>
        <w:t>As</w:t>
      </w:r>
      <w:proofErr w:type="gramEnd"/>
      <w:r w:rsidRPr="00B36472">
        <w:rPr>
          <w:rFonts w:eastAsia="Times New Roman" w:cstheme="minorHAnsi"/>
          <w:color w:val="333333"/>
          <w:lang w:eastAsia="en-AU"/>
        </w:rPr>
        <w:t xml:space="preserve"> she is famed to do.” What began as simple description—this is what is on the urn, it’s only a description—has suddenly turned upon him and revealed the very sources which the poem existed to </w:t>
      </w:r>
      <w:proofErr w:type="gramStart"/>
      <w:r w:rsidRPr="00B36472">
        <w:rPr>
          <w:rFonts w:eastAsia="Times New Roman" w:cstheme="minorHAnsi"/>
          <w:color w:val="333333"/>
          <w:lang w:eastAsia="en-AU"/>
        </w:rPr>
        <w:t>evade.</w:t>
      </w:r>
      <w:proofErr w:type="gramEnd"/>
      <w:r w:rsidRPr="00B36472">
        <w:rPr>
          <w:rFonts w:eastAsia="Times New Roman" w:cstheme="minorHAnsi"/>
          <w:color w:val="333333"/>
          <w:lang w:eastAsia="en-AU"/>
        </w:rPr>
        <w:t xml:space="preserve"> Keats didn’t know why he was writing the poem, and the poem’s language is now telling him something about his own consciousness—manifesting </w:t>
      </w:r>
      <w:r w:rsidRPr="00B36472">
        <w:rPr>
          <w:rFonts w:eastAsia="Times New Roman" w:cstheme="minorHAnsi"/>
          <w:i/>
          <w:iCs/>
          <w:color w:val="333333"/>
          <w:lang w:eastAsia="en-AU"/>
        </w:rPr>
        <w:t xml:space="preserve">conscience de </w:t>
      </w:r>
      <w:proofErr w:type="spellStart"/>
      <w:r w:rsidRPr="00B36472">
        <w:rPr>
          <w:rFonts w:eastAsia="Times New Roman" w:cstheme="minorHAnsi"/>
          <w:i/>
          <w:iCs/>
          <w:color w:val="333333"/>
          <w:lang w:eastAsia="en-AU"/>
        </w:rPr>
        <w:t>soi</w:t>
      </w:r>
      <w:proofErr w:type="spellEnd"/>
      <w:r w:rsidRPr="00B36472">
        <w:rPr>
          <w:rFonts w:eastAsia="Times New Roman" w:cstheme="minorHAnsi"/>
          <w:color w:val="333333"/>
          <w:lang w:eastAsia="en-AU"/>
        </w:rPr>
        <w:t>. He has nowhere to go but back to a confrontation with the urn as a whole—with this enigmatic thing which, like Poe’s raven, has brought him news of his own death.</w:t>
      </w:r>
      <w:r w:rsidRPr="00B36472">
        <w:rPr>
          <w:rFonts w:eastAsia="Times New Roman" w:cstheme="minorHAnsi"/>
          <w:color w:val="333333"/>
          <w:lang w:eastAsia="en-AU"/>
        </w:rPr>
        <w:br/>
      </w:r>
      <w:r w:rsidRPr="00B36472">
        <w:rPr>
          <w:rFonts w:eastAsia="Times New Roman" w:cstheme="minorHAnsi"/>
          <w:color w:val="333333"/>
          <w:lang w:eastAsia="en-AU"/>
        </w:rPr>
        <w:br/>
        <w:t xml:space="preserve">In the last stanza the urn is called a “silent form,” though in the concluding lines it “speaks”: “thou </w:t>
      </w:r>
      <w:proofErr w:type="spellStart"/>
      <w:r w:rsidRPr="00B36472">
        <w:rPr>
          <w:rFonts w:eastAsia="Times New Roman" w:cstheme="minorHAnsi"/>
          <w:color w:val="333333"/>
          <w:lang w:eastAsia="en-AU"/>
        </w:rPr>
        <w:t>say’st</w:t>
      </w:r>
      <w:proofErr w:type="spellEnd"/>
      <w:r w:rsidRPr="00B36472">
        <w:rPr>
          <w:rFonts w:eastAsia="Times New Roman" w:cstheme="minorHAnsi"/>
          <w:color w:val="333333"/>
          <w:lang w:eastAsia="en-AU"/>
        </w:rPr>
        <w:t xml:space="preserve">.” Perhaps the most telling phrase of the stanza is “Cold Pastoral!” At this point the urn is almost a tombstone, something which extends beyond the life of the humans who constructed it and extends as well into the midst of “other woe / </w:t>
      </w:r>
      <w:proofErr w:type="gramStart"/>
      <w:r w:rsidRPr="00B36472">
        <w:rPr>
          <w:rFonts w:eastAsia="Times New Roman" w:cstheme="minorHAnsi"/>
          <w:color w:val="333333"/>
          <w:lang w:eastAsia="en-AU"/>
        </w:rPr>
        <w:t>Than</w:t>
      </w:r>
      <w:proofErr w:type="gramEnd"/>
      <w:r w:rsidRPr="00B36472">
        <w:rPr>
          <w:rFonts w:eastAsia="Times New Roman" w:cstheme="minorHAnsi"/>
          <w:color w:val="333333"/>
          <w:lang w:eastAsia="en-AU"/>
        </w:rPr>
        <w:t xml:space="preserve"> ours.” If it is “a friend to man,” it is also cold, like stone, lacking human warmth.</w:t>
      </w:r>
      <w:r w:rsidRPr="00B36472">
        <w:rPr>
          <w:rFonts w:eastAsia="Times New Roman" w:cstheme="minorHAnsi"/>
          <w:color w:val="333333"/>
          <w:lang w:eastAsia="en-AU"/>
        </w:rPr>
        <w:br/>
      </w:r>
      <w:r w:rsidRPr="00B36472">
        <w:rPr>
          <w:rFonts w:eastAsia="Times New Roman" w:cstheme="minorHAnsi"/>
          <w:color w:val="333333"/>
          <w:lang w:eastAsia="en-AU"/>
        </w:rPr>
        <w:br/>
      </w:r>
      <w:r w:rsidRPr="00B36472">
        <w:rPr>
          <w:rFonts w:eastAsia="Times New Roman" w:cstheme="minorHAnsi"/>
          <w:color w:val="333333"/>
          <w:lang w:eastAsia="en-AU"/>
        </w:rPr>
        <w:lastRenderedPageBreak/>
        <w:t xml:space="preserve">My own feeling about the line, “Beauty is truth, truth beauty”—or part of my feeling about it—is that the statement is spoken entirely by the urn, and that Keats is addressing the urn when he says, “That is all ye know on earth, and all ye need to know.” Humans, who suffer and die like the lowing “heifer,” have very different modes of knowledge. For the urn, “beauty” and “truth” can be identical because the “truth” expressed there is of a limited, artificial sort—something which evades the “truth” of mortality: “Ah, happy, happy boughs! </w:t>
      </w:r>
      <w:proofErr w:type="gramStart"/>
      <w:r w:rsidRPr="00B36472">
        <w:rPr>
          <w:rFonts w:eastAsia="Times New Roman" w:cstheme="minorHAnsi"/>
          <w:color w:val="333333"/>
          <w:lang w:eastAsia="en-AU"/>
        </w:rPr>
        <w:t>that</w:t>
      </w:r>
      <w:proofErr w:type="gramEnd"/>
      <w:r w:rsidRPr="00B36472">
        <w:rPr>
          <w:rFonts w:eastAsia="Times New Roman" w:cstheme="minorHAnsi"/>
          <w:color w:val="333333"/>
          <w:lang w:eastAsia="en-AU"/>
        </w:rPr>
        <w:t xml:space="preserve"> cannot shed / Your leaves….”</w:t>
      </w:r>
      <w:r w:rsidRPr="00B36472">
        <w:rPr>
          <w:rFonts w:eastAsia="Times New Roman" w:cstheme="minorHAnsi"/>
          <w:color w:val="333333"/>
          <w:lang w:eastAsia="en-AU"/>
        </w:rPr>
        <w:br/>
      </w:r>
      <w:r w:rsidRPr="00B36472">
        <w:rPr>
          <w:rFonts w:eastAsia="Times New Roman" w:cstheme="minorHAnsi"/>
          <w:color w:val="333333"/>
          <w:lang w:eastAsia="en-AU"/>
        </w:rPr>
        <w:br/>
        <w:t xml:space="preserve">Such a “truth” is by no means comforting since a good deal of the poem is devoted to demonstrating its limitations—even its inadequacy. Yet the lines, “Beauty is truth, truth beauty—that is all / </w:t>
      </w:r>
      <w:proofErr w:type="gramStart"/>
      <w:r w:rsidRPr="00B36472">
        <w:rPr>
          <w:rFonts w:eastAsia="Times New Roman" w:cstheme="minorHAnsi"/>
          <w:color w:val="333333"/>
          <w:lang w:eastAsia="en-AU"/>
        </w:rPr>
        <w:t>Ye</w:t>
      </w:r>
      <w:proofErr w:type="gramEnd"/>
      <w:r w:rsidRPr="00B36472">
        <w:rPr>
          <w:rFonts w:eastAsia="Times New Roman" w:cstheme="minorHAnsi"/>
          <w:color w:val="333333"/>
          <w:lang w:eastAsia="en-AU"/>
        </w:rPr>
        <w:t xml:space="preserve"> know on earth, and all ye need to know,” sound as though they ought to be comforting. </w:t>
      </w:r>
      <w:proofErr w:type="gramStart"/>
      <w:r w:rsidRPr="00B36472">
        <w:rPr>
          <w:rFonts w:eastAsia="Times New Roman" w:cstheme="minorHAnsi"/>
          <w:color w:val="333333"/>
          <w:lang w:eastAsia="en-AU"/>
        </w:rPr>
        <w:t>Keats’ designation of the urn as “a friend to man”—as opposed to a “Cold Pastoral!”</w:t>
      </w:r>
      <w:proofErr w:type="gramEnd"/>
      <w:r w:rsidRPr="00B36472">
        <w:rPr>
          <w:rFonts w:eastAsia="Times New Roman" w:cstheme="minorHAnsi"/>
          <w:color w:val="333333"/>
          <w:lang w:eastAsia="en-AU"/>
        </w:rPr>
        <w:t xml:space="preserve">—now becomes important. Surely a “friend” would not attack us: it would offer us comfort in our misery. The concluding lines of the poem are not only, as Paul de Man remarked, “gnomic” but deliberately evasive. There is no comfort against mortality; it is a stark fact which cannot be avoided—and there is nothing in the poem which suggests the possibility of a blissful afterlife. The poem is without comfort of any kind. And yet: the concluding lines don’t “know” that. We are given a “moral” which is in fact not the moral of the poem at all—and it allows us, in its deception, to exit without tears or anger. Beauty, truth—how nice to think that they are </w:t>
      </w:r>
      <w:proofErr w:type="gramStart"/>
      <w:r w:rsidRPr="00B36472">
        <w:rPr>
          <w:rFonts w:eastAsia="Times New Roman" w:cstheme="minorHAnsi"/>
          <w:color w:val="333333"/>
          <w:lang w:eastAsia="en-AU"/>
        </w:rPr>
        <w:t>identical,</w:t>
      </w:r>
      <w:proofErr w:type="gramEnd"/>
      <w:r w:rsidRPr="00B36472">
        <w:rPr>
          <w:rFonts w:eastAsia="Times New Roman" w:cstheme="minorHAnsi"/>
          <w:color w:val="333333"/>
          <w:lang w:eastAsia="en-AU"/>
        </w:rPr>
        <w:t xml:space="preserve"> and how nice not to have to think anything more about it.</w:t>
      </w:r>
      <w:r w:rsidRPr="00B36472">
        <w:rPr>
          <w:rFonts w:eastAsia="Times New Roman" w:cstheme="minorHAnsi"/>
          <w:color w:val="333333"/>
          <w:lang w:eastAsia="en-AU"/>
        </w:rPr>
        <w:br/>
      </w:r>
      <w:r w:rsidRPr="00B36472">
        <w:rPr>
          <w:rFonts w:eastAsia="Times New Roman" w:cstheme="minorHAnsi"/>
          <w:color w:val="333333"/>
          <w:lang w:eastAsia="en-AU"/>
        </w:rPr>
        <w:br/>
        <w:t>I am suggesting here that Keats’ method is to some extent to abnegate control as he writes his poem: he is writing “Ode on a Grecian Urn” as a kind of field in which various things may happen—opening a space in which various possibilities arise. In doing so, he is radically shifting contexts. What results is a kind of rich incoherence in which various incompatible positions are all expressed—but none so emphatically that we are forced to choose one as opposed to the others. As Keats writes his poem, the words he selects lead him into contexts which are different from the one in which he began—and, instead of trying to control this tendency and to force the words back into the original context (as one might in prose), he simply allows it to happen.</w:t>
      </w:r>
      <w:r w:rsidRPr="00B36472">
        <w:rPr>
          <w:rFonts w:eastAsia="Times New Roman" w:cstheme="minorHAnsi"/>
          <w:color w:val="333333"/>
          <w:lang w:eastAsia="en-AU"/>
        </w:rPr>
        <w:br/>
      </w:r>
      <w:r w:rsidRPr="00B36472">
        <w:rPr>
          <w:rFonts w:eastAsia="Times New Roman" w:cstheme="minorHAnsi"/>
          <w:color w:val="333333"/>
          <w:lang w:eastAsia="en-AU"/>
        </w:rPr>
        <w:br/>
        <w:t>Is it any wonder that he had such a profound effect on Charles Olson?</w:t>
      </w:r>
      <w:r w:rsidRPr="00B36472">
        <w:rPr>
          <w:rFonts w:eastAsia="Times New Roman" w:cstheme="minorHAnsi"/>
          <w:color w:val="333333"/>
          <w:lang w:eastAsia="en-AU"/>
        </w:rPr>
        <w:br/>
      </w:r>
      <w:r w:rsidRPr="00B36472">
        <w:rPr>
          <w:rFonts w:eastAsia="Times New Roman" w:cstheme="minorHAnsi"/>
          <w:color w:val="333333"/>
          <w:lang w:eastAsia="en-AU"/>
        </w:rPr>
        <w:br/>
      </w:r>
    </w:p>
    <w:p w:rsidR="00B36472" w:rsidRPr="00B36472" w:rsidRDefault="00B36472" w:rsidP="00B36472">
      <w:pPr>
        <w:tabs>
          <w:tab w:val="right" w:pos="9026"/>
        </w:tabs>
        <w:spacing w:line="336" w:lineRule="atLeast"/>
        <w:rPr>
          <w:rFonts w:eastAsia="Times New Roman" w:cstheme="minorHAnsi"/>
          <w:caps/>
          <w:color w:val="999999"/>
          <w:spacing w:val="24"/>
          <w:lang w:eastAsia="en-AU"/>
        </w:rPr>
      </w:pPr>
      <w:r w:rsidRPr="00B36472">
        <w:rPr>
          <w:rFonts w:eastAsia="Times New Roman" w:cstheme="minorHAnsi"/>
          <w:caps/>
          <w:color w:val="999999"/>
          <w:spacing w:val="24"/>
          <w:lang w:eastAsia="en-AU"/>
        </w:rPr>
        <w:t xml:space="preserve">Posted by Jerome Rothenberg at </w:t>
      </w:r>
      <w:hyperlink r:id="rId7" w:tooltip="permanent link" w:history="1">
        <w:r w:rsidRPr="00B36472">
          <w:rPr>
            <w:rFonts w:eastAsia="Times New Roman" w:cstheme="minorHAnsi"/>
            <w:caps/>
            <w:color w:val="5588AA"/>
            <w:spacing w:val="24"/>
            <w:lang w:eastAsia="en-AU"/>
          </w:rPr>
          <w:t>6:38 AM</w:t>
        </w:r>
      </w:hyperlink>
      <w:r w:rsidRPr="00B36472">
        <w:rPr>
          <w:rFonts w:eastAsia="Times New Roman" w:cstheme="minorHAnsi"/>
          <w:caps/>
          <w:color w:val="999999"/>
          <w:spacing w:val="24"/>
          <w:lang w:eastAsia="en-AU"/>
        </w:rPr>
        <w:t xml:space="preserve"> </w:t>
      </w:r>
      <w:r w:rsidRPr="00B36472">
        <w:rPr>
          <w:rFonts w:eastAsia="Times New Roman" w:cstheme="minorHAnsi"/>
          <w:caps/>
          <w:noProof/>
          <w:vanish/>
          <w:color w:val="5588AA"/>
          <w:spacing w:val="24"/>
          <w:lang w:eastAsia="en-AU"/>
        </w:rPr>
        <w:drawing>
          <wp:inline distT="0" distB="0" distL="0" distR="0">
            <wp:extent cx="171450" cy="171450"/>
            <wp:effectExtent l="19050" t="0" r="0" b="0"/>
            <wp:docPr id="1" name="Picture 1" descr="http://img2.blogblog.com/img/icon18_edit_allbkg.gif">
              <a:hlinkClick xmlns:a="http://schemas.openxmlformats.org/drawingml/2006/main" r:id="rId8" tooltip="&quot;Edit Pos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2.blogblog.com/img/icon18_edit_allbkg.gif">
                      <a:hlinkClick r:id="rId8" tooltip="&quot;Edit Post&quot;"/>
                    </pic:cNvPr>
                    <pic:cNvPicPr>
                      <a:picLocks noChangeAspect="1" noChangeArrowheads="1"/>
                    </pic:cNvPicPr>
                  </pic:nvPicPr>
                  <pic:blipFill>
                    <a:blip r:embed="rId9" cstate="print"/>
                    <a:srcRect/>
                    <a:stretch>
                      <a:fillRect/>
                    </a:stretch>
                  </pic:blipFill>
                  <pic:spPr bwMode="auto">
                    <a:xfrm>
                      <a:off x="0" y="0"/>
                      <a:ext cx="171450" cy="171450"/>
                    </a:xfrm>
                    <a:prstGeom prst="rect">
                      <a:avLst/>
                    </a:prstGeom>
                    <a:noFill/>
                    <a:ln w="9525">
                      <a:noFill/>
                      <a:miter lim="800000"/>
                      <a:headEnd/>
                      <a:tailEnd/>
                    </a:ln>
                  </pic:spPr>
                </pic:pic>
              </a:graphicData>
            </a:graphic>
          </wp:inline>
        </w:drawing>
      </w:r>
      <w:r>
        <w:rPr>
          <w:rFonts w:eastAsia="Times New Roman" w:cstheme="minorHAnsi"/>
          <w:caps/>
          <w:color w:val="999999"/>
          <w:spacing w:val="24"/>
          <w:lang w:eastAsia="en-AU"/>
        </w:rPr>
        <w:tab/>
      </w:r>
    </w:p>
    <w:p w:rsidR="00683724" w:rsidRPr="00B36472" w:rsidRDefault="00683724">
      <w:pPr>
        <w:rPr>
          <w:rFonts w:cstheme="minorHAnsi"/>
        </w:rPr>
      </w:pPr>
    </w:p>
    <w:sectPr w:rsidR="00683724" w:rsidRPr="00B36472" w:rsidSect="00683724">
      <w:footerReference w:type="default" r:id="rId1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C43" w:rsidRDefault="005F2C43" w:rsidP="00B36472">
      <w:pPr>
        <w:spacing w:after="0" w:line="240" w:lineRule="auto"/>
      </w:pPr>
      <w:r>
        <w:separator/>
      </w:r>
    </w:p>
  </w:endnote>
  <w:endnote w:type="continuationSeparator" w:id="0">
    <w:p w:rsidR="005F2C43" w:rsidRDefault="005F2C43" w:rsidP="00B364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472" w:rsidRPr="00B36472" w:rsidRDefault="00B36472">
    <w:pPr>
      <w:pStyle w:val="Footer"/>
      <w:rPr>
        <w:sz w:val="18"/>
        <w:szCs w:val="18"/>
      </w:rPr>
    </w:pPr>
    <w:r w:rsidRPr="00B36472">
      <w:rPr>
        <w:sz w:val="18"/>
        <w:szCs w:val="18"/>
      </w:rPr>
      <w:t>http://poemsandpoetics.blogspot.com/2010/02/reconfiguring-romanticism-37-jack-foley.html</w:t>
    </w:r>
  </w:p>
  <w:p w:rsidR="00B36472" w:rsidRDefault="00B364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C43" w:rsidRDefault="005F2C43" w:rsidP="00B36472">
      <w:pPr>
        <w:spacing w:after="0" w:line="240" w:lineRule="auto"/>
      </w:pPr>
      <w:r>
        <w:separator/>
      </w:r>
    </w:p>
  </w:footnote>
  <w:footnote w:type="continuationSeparator" w:id="0">
    <w:p w:rsidR="005F2C43" w:rsidRDefault="005F2C43" w:rsidP="00B3647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B36472"/>
    <w:rsid w:val="005F2C43"/>
    <w:rsid w:val="00683724"/>
    <w:rsid w:val="00B3647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724"/>
  </w:style>
  <w:style w:type="paragraph" w:styleId="Heading3">
    <w:name w:val="heading 3"/>
    <w:basedOn w:val="Normal"/>
    <w:link w:val="Heading3Char"/>
    <w:uiPriority w:val="9"/>
    <w:qFormat/>
    <w:rsid w:val="00B36472"/>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36472"/>
    <w:rPr>
      <w:rFonts w:ascii="Times New Roman" w:eastAsia="Times New Roman" w:hAnsi="Times New Roman" w:cs="Times New Roman"/>
      <w:b/>
      <w:bCs/>
      <w:sz w:val="27"/>
      <w:szCs w:val="27"/>
      <w:lang w:eastAsia="en-AU"/>
    </w:rPr>
  </w:style>
  <w:style w:type="character" w:styleId="Hyperlink">
    <w:name w:val="Hyperlink"/>
    <w:basedOn w:val="DefaultParagraphFont"/>
    <w:uiPriority w:val="99"/>
    <w:semiHidden/>
    <w:unhideWhenUsed/>
    <w:rsid w:val="00B36472"/>
    <w:rPr>
      <w:strike w:val="0"/>
      <w:dstrike w:val="0"/>
      <w:color w:val="5588AA"/>
      <w:u w:val="none"/>
      <w:effect w:val="none"/>
    </w:rPr>
  </w:style>
  <w:style w:type="character" w:styleId="Emphasis">
    <w:name w:val="Emphasis"/>
    <w:basedOn w:val="DefaultParagraphFont"/>
    <w:uiPriority w:val="20"/>
    <w:qFormat/>
    <w:rsid w:val="00B36472"/>
    <w:rPr>
      <w:i/>
      <w:iCs/>
    </w:rPr>
  </w:style>
  <w:style w:type="character" w:customStyle="1" w:styleId="post-author">
    <w:name w:val="post-author"/>
    <w:basedOn w:val="DefaultParagraphFont"/>
    <w:rsid w:val="00B36472"/>
  </w:style>
  <w:style w:type="character" w:customStyle="1" w:styleId="fn">
    <w:name w:val="fn"/>
    <w:basedOn w:val="DefaultParagraphFont"/>
    <w:rsid w:val="00B36472"/>
  </w:style>
  <w:style w:type="character" w:customStyle="1" w:styleId="post-timestamp">
    <w:name w:val="post-timestamp"/>
    <w:basedOn w:val="DefaultParagraphFont"/>
    <w:rsid w:val="00B36472"/>
  </w:style>
  <w:style w:type="character" w:customStyle="1" w:styleId="item-control1">
    <w:name w:val="item-control1"/>
    <w:basedOn w:val="DefaultParagraphFont"/>
    <w:rsid w:val="00B36472"/>
    <w:rPr>
      <w:vanish/>
      <w:webHidden w:val="0"/>
      <w:specVanish w:val="0"/>
    </w:rPr>
  </w:style>
  <w:style w:type="paragraph" w:styleId="Header">
    <w:name w:val="header"/>
    <w:basedOn w:val="Normal"/>
    <w:link w:val="HeaderChar"/>
    <w:uiPriority w:val="99"/>
    <w:semiHidden/>
    <w:unhideWhenUsed/>
    <w:rsid w:val="00B3647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36472"/>
  </w:style>
  <w:style w:type="paragraph" w:styleId="Footer">
    <w:name w:val="footer"/>
    <w:basedOn w:val="Normal"/>
    <w:link w:val="FooterChar"/>
    <w:uiPriority w:val="99"/>
    <w:unhideWhenUsed/>
    <w:rsid w:val="00B364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472"/>
  </w:style>
  <w:style w:type="paragraph" w:styleId="BalloonText">
    <w:name w:val="Balloon Text"/>
    <w:basedOn w:val="Normal"/>
    <w:link w:val="BalloonTextChar"/>
    <w:uiPriority w:val="99"/>
    <w:semiHidden/>
    <w:unhideWhenUsed/>
    <w:rsid w:val="00B364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4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208034">
      <w:bodyDiv w:val="1"/>
      <w:marLeft w:val="0"/>
      <w:marRight w:val="0"/>
      <w:marTop w:val="0"/>
      <w:marBottom w:val="0"/>
      <w:divBdr>
        <w:top w:val="none" w:sz="0" w:space="0" w:color="auto"/>
        <w:left w:val="none" w:sz="0" w:space="0" w:color="auto"/>
        <w:bottom w:val="none" w:sz="0" w:space="0" w:color="auto"/>
        <w:right w:val="none" w:sz="0" w:space="0" w:color="auto"/>
      </w:divBdr>
      <w:divsChild>
        <w:div w:id="50232205">
          <w:marLeft w:val="0"/>
          <w:marRight w:val="0"/>
          <w:marTop w:val="0"/>
          <w:marBottom w:val="0"/>
          <w:divBdr>
            <w:top w:val="none" w:sz="0" w:space="0" w:color="auto"/>
            <w:left w:val="none" w:sz="0" w:space="0" w:color="auto"/>
            <w:bottom w:val="none" w:sz="0" w:space="0" w:color="auto"/>
            <w:right w:val="none" w:sz="0" w:space="0" w:color="auto"/>
          </w:divBdr>
          <w:divsChild>
            <w:div w:id="2093316071">
              <w:marLeft w:val="0"/>
              <w:marRight w:val="0"/>
              <w:marTop w:val="0"/>
              <w:marBottom w:val="0"/>
              <w:divBdr>
                <w:top w:val="none" w:sz="0" w:space="0" w:color="auto"/>
                <w:left w:val="none" w:sz="0" w:space="0" w:color="auto"/>
                <w:bottom w:val="none" w:sz="0" w:space="0" w:color="auto"/>
                <w:right w:val="none" w:sz="0" w:space="0" w:color="auto"/>
              </w:divBdr>
              <w:divsChild>
                <w:div w:id="590358714">
                  <w:marLeft w:val="0"/>
                  <w:marRight w:val="0"/>
                  <w:marTop w:val="0"/>
                  <w:marBottom w:val="0"/>
                  <w:divBdr>
                    <w:top w:val="none" w:sz="0" w:space="0" w:color="auto"/>
                    <w:left w:val="none" w:sz="0" w:space="0" w:color="auto"/>
                    <w:bottom w:val="none" w:sz="0" w:space="0" w:color="auto"/>
                    <w:right w:val="none" w:sz="0" w:space="0" w:color="auto"/>
                  </w:divBdr>
                  <w:divsChild>
                    <w:div w:id="607546230">
                      <w:marLeft w:val="0"/>
                      <w:marRight w:val="0"/>
                      <w:marTop w:val="0"/>
                      <w:marBottom w:val="0"/>
                      <w:divBdr>
                        <w:top w:val="none" w:sz="0" w:space="0" w:color="auto"/>
                        <w:left w:val="none" w:sz="0" w:space="0" w:color="auto"/>
                        <w:bottom w:val="none" w:sz="0" w:space="0" w:color="auto"/>
                        <w:right w:val="none" w:sz="0" w:space="0" w:color="auto"/>
                      </w:divBdr>
                      <w:divsChild>
                        <w:div w:id="324555866">
                          <w:marLeft w:val="0"/>
                          <w:marRight w:val="0"/>
                          <w:marTop w:val="0"/>
                          <w:marBottom w:val="0"/>
                          <w:divBdr>
                            <w:top w:val="none" w:sz="0" w:space="0" w:color="auto"/>
                            <w:left w:val="none" w:sz="0" w:space="0" w:color="auto"/>
                            <w:bottom w:val="none" w:sz="0" w:space="0" w:color="auto"/>
                            <w:right w:val="none" w:sz="0" w:space="0" w:color="auto"/>
                          </w:divBdr>
                          <w:divsChild>
                            <w:div w:id="1005471789">
                              <w:marLeft w:val="0"/>
                              <w:marRight w:val="0"/>
                              <w:marTop w:val="0"/>
                              <w:marBottom w:val="0"/>
                              <w:divBdr>
                                <w:top w:val="none" w:sz="0" w:space="0" w:color="auto"/>
                                <w:left w:val="none" w:sz="0" w:space="0" w:color="auto"/>
                                <w:bottom w:val="none" w:sz="0" w:space="0" w:color="auto"/>
                                <w:right w:val="none" w:sz="0" w:space="0" w:color="auto"/>
                              </w:divBdr>
                              <w:divsChild>
                                <w:div w:id="607546897">
                                  <w:marLeft w:val="0"/>
                                  <w:marRight w:val="0"/>
                                  <w:marTop w:val="0"/>
                                  <w:marBottom w:val="0"/>
                                  <w:divBdr>
                                    <w:top w:val="none" w:sz="0" w:space="0" w:color="auto"/>
                                    <w:left w:val="none" w:sz="0" w:space="0" w:color="auto"/>
                                    <w:bottom w:val="none" w:sz="0" w:space="0" w:color="auto"/>
                                    <w:right w:val="none" w:sz="0" w:space="0" w:color="auto"/>
                                  </w:divBdr>
                                  <w:divsChild>
                                    <w:div w:id="1820000390">
                                      <w:marLeft w:val="0"/>
                                      <w:marRight w:val="0"/>
                                      <w:marTop w:val="0"/>
                                      <w:marBottom w:val="0"/>
                                      <w:divBdr>
                                        <w:top w:val="none" w:sz="0" w:space="0" w:color="auto"/>
                                        <w:left w:val="none" w:sz="0" w:space="0" w:color="auto"/>
                                        <w:bottom w:val="none" w:sz="0" w:space="0" w:color="auto"/>
                                        <w:right w:val="none" w:sz="0" w:space="0" w:color="auto"/>
                                      </w:divBdr>
                                      <w:divsChild>
                                        <w:div w:id="1100298537">
                                          <w:marLeft w:val="0"/>
                                          <w:marRight w:val="0"/>
                                          <w:marTop w:val="0"/>
                                          <w:marBottom w:val="0"/>
                                          <w:divBdr>
                                            <w:top w:val="none" w:sz="0" w:space="0" w:color="auto"/>
                                            <w:left w:val="none" w:sz="0" w:space="0" w:color="auto"/>
                                            <w:bottom w:val="none" w:sz="0" w:space="0" w:color="auto"/>
                                            <w:right w:val="none" w:sz="0" w:space="0" w:color="auto"/>
                                          </w:divBdr>
                                          <w:divsChild>
                                            <w:div w:id="208733573">
                                              <w:marLeft w:val="0"/>
                                              <w:marRight w:val="0"/>
                                              <w:marTop w:val="120"/>
                                              <w:marBottom w:val="360"/>
                                              <w:divBdr>
                                                <w:top w:val="none" w:sz="0" w:space="0" w:color="auto"/>
                                                <w:left w:val="none" w:sz="0" w:space="0" w:color="auto"/>
                                                <w:bottom w:val="dotted" w:sz="6" w:space="18" w:color="CCCCCC"/>
                                                <w:right w:val="none" w:sz="0" w:space="0" w:color="auto"/>
                                              </w:divBdr>
                                              <w:divsChild>
                                                <w:div w:id="625894288">
                                                  <w:marLeft w:val="0"/>
                                                  <w:marRight w:val="0"/>
                                                  <w:marTop w:val="0"/>
                                                  <w:marBottom w:val="180"/>
                                                  <w:divBdr>
                                                    <w:top w:val="none" w:sz="0" w:space="0" w:color="auto"/>
                                                    <w:left w:val="none" w:sz="0" w:space="0" w:color="auto"/>
                                                    <w:bottom w:val="none" w:sz="0" w:space="0" w:color="auto"/>
                                                    <w:right w:val="none" w:sz="0" w:space="0" w:color="auto"/>
                                                  </w:divBdr>
                                                </w:div>
                                                <w:div w:id="823350291">
                                                  <w:marLeft w:val="0"/>
                                                  <w:marRight w:val="0"/>
                                                  <w:marTop w:val="180"/>
                                                  <w:marBottom w:val="180"/>
                                                  <w:divBdr>
                                                    <w:top w:val="none" w:sz="0" w:space="0" w:color="auto"/>
                                                    <w:left w:val="none" w:sz="0" w:space="0" w:color="auto"/>
                                                    <w:bottom w:val="none" w:sz="0" w:space="0" w:color="auto"/>
                                                    <w:right w:val="none" w:sz="0" w:space="0" w:color="auto"/>
                                                  </w:divBdr>
                                                  <w:divsChild>
                                                    <w:div w:id="80990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ogger.com/post-edit.g?blogID=5593764226213882767&amp;postID=1869786309994792550" TargetMode="External"/><Relationship Id="rId3" Type="http://schemas.openxmlformats.org/officeDocument/2006/relationships/webSettings" Target="webSettings.xml"/><Relationship Id="rId7" Type="http://schemas.openxmlformats.org/officeDocument/2006/relationships/hyperlink" Target="http://poemsandpoetics.blogspot.com/2010/02/reconfiguring-romanticism-37-jack-foley.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artleby.com/126/41.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1954</Words>
  <Characters>11141</Characters>
  <Application>Microsoft Office Word</Application>
  <DocSecurity>0</DocSecurity>
  <Lines>92</Lines>
  <Paragraphs>26</Paragraphs>
  <ScaleCrop>false</ScaleCrop>
  <Company>Hewlett-Packard</Company>
  <LinksUpToDate>false</LinksUpToDate>
  <CharactersWithSpaces>13069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MsConstrue</dc:creator>
  <cp:lastModifiedBy>MsConstrue</cp:lastModifiedBy>
  <cp:revision>1</cp:revision>
  <dcterms:created xsi:type="dcterms:W3CDTF">2011-05-03T09:32:00Z</dcterms:created>
  <dcterms:modified xsi:type="dcterms:W3CDTF">2011-05-03T09:35:00Z</dcterms:modified>
</cp:coreProperties>
</file>